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AAC" w:rsidRPr="004369CB" w:rsidRDefault="004369CB" w:rsidP="004369CB">
      <w:pPr>
        <w:pStyle w:val="Normal1"/>
        <w:ind w:right="2041"/>
        <w:jc w:val="center"/>
        <w:rPr>
          <w:rStyle w:val="Normal2"/>
          <w:rFonts w:ascii="Times Roman" w:eastAsia="Times Roman" w:hAnsi="Times Roman" w:cs="Times Roman"/>
          <w:b/>
          <w:caps/>
          <w:sz w:val="20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b/>
          <w:caps/>
          <w:sz w:val="20"/>
          <w:lang w:eastAsia="en-US" w:bidi="en-US"/>
        </w:rPr>
        <w:t>Table des matières</w:t>
      </w:r>
    </w:p>
    <w:p w:rsidR="00092AAC" w:rsidRPr="004369CB" w:rsidRDefault="00092AAC">
      <w:pPr>
        <w:pStyle w:val="Normal1"/>
        <w:rPr>
          <w:rStyle w:val="Normal2"/>
          <w:rFonts w:ascii="Times Roman" w:eastAsia="Times Roman" w:hAnsi="Times Roman" w:cs="Times Roman"/>
          <w:sz w:val="16"/>
          <w:lang w:eastAsia="en-US" w:bidi="en-US"/>
        </w:rPr>
      </w:pPr>
    </w:p>
    <w:p w:rsidR="00092AAC" w:rsidRPr="004369CB" w:rsidRDefault="004369CB" w:rsidP="004369CB">
      <w:pPr>
        <w:pStyle w:val="Normal1"/>
        <w:ind w:right="2041"/>
        <w:jc w:val="right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Page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13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Introduction,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par Bruno MAËS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1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Patrick DEMOUY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Le programme iconographique de la façade de Notre-Dame de Reims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br/>
        <w:t xml:space="preserve">et les origines bibliques de la royauté 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sacrée 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5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Franck COLLARD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Relater et représenter le sacre des rois dans les « Grandes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br/>
        <w:t xml:space="preserve">chroniques de France 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» 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21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Géraldine LAVIEILLE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Sacre et droit divin au temps des rois absolus. Contourner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br/>
        <w:t>la médiation ecclésiale dans les représentations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39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Marion POUSPIN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>Le sacre da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ns les pièces 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gothiques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73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Gérard SABATIER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Reims 1722-1775. Publier le sacre au temps des lumières. Enjeux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br/>
        <w:t xml:space="preserve">et stratégies d’une 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médiation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93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Jean-François BOULANGER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1825 : Sacre et 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théâtre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141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Bruno MAËS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Les Rois 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médecins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151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Annette BÄCHSTÄDT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"Ecce </w:t>
      </w:r>
      <w:proofErr w:type="spell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>monarcha</w:t>
      </w:r>
      <w:proofErr w:type="spellEnd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 hic est </w:t>
      </w:r>
      <w:proofErr w:type="spell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>primus</w:t>
      </w:r>
      <w:proofErr w:type="spellEnd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 Imperator &amp; Caesar domo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br/>
      </w:r>
      <w:proofErr w:type="spell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>Austriae</w:t>
      </w:r>
      <w:proofErr w:type="spellEnd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>" : le sacre de l’Empereur Frédéric III à Rome (mars 1452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)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161</w:t>
      </w:r>
    </w:p>
    <w:p w:rsidR="00092AAC" w:rsidRP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eastAsia="en-US" w:bidi="en-US"/>
        </w:rPr>
      </w:pP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•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>Thomas NICKLAS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>,</w:t>
      </w:r>
      <w:r w:rsidRPr="004369CB">
        <w:rPr>
          <w:rStyle w:val="Normal2"/>
          <w:rFonts w:ascii="Times Roman" w:eastAsia="Times Roman" w:hAnsi="Times Roman" w:cs="Times Roman"/>
          <w:b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>Le Sacre désacralisé ? Rituel, pratiques et représentations dan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s </w:t>
      </w:r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br/>
        <w:t>le Saint-Empire : l’exemple de l’élection et du couronnement de Maximilien II (1562</w:t>
      </w:r>
      <w:proofErr w:type="gramStart"/>
      <w:r w:rsidRPr="004369CB">
        <w:rPr>
          <w:rStyle w:val="Normal2"/>
          <w:rFonts w:ascii="Times Roman" w:eastAsia="Times Roman" w:hAnsi="Times Roman" w:cs="Times Roman"/>
          <w:i/>
          <w:sz w:val="18"/>
          <w:lang w:eastAsia="en-US" w:bidi="en-US"/>
        </w:rPr>
        <w:t xml:space="preserve">)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 xml:space="preserve"> </w:t>
      </w:r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</w:r>
      <w:proofErr w:type="gramEnd"/>
      <w:r w:rsidRPr="004369CB">
        <w:rPr>
          <w:rStyle w:val="Normal2"/>
          <w:rFonts w:ascii="Times Roman" w:eastAsia="Times Roman" w:hAnsi="Times Roman" w:cs="Times Roman"/>
          <w:sz w:val="18"/>
          <w:lang w:eastAsia="en-US" w:bidi="en-US"/>
        </w:rPr>
        <w:tab/>
        <w:t>175</w:t>
      </w:r>
    </w:p>
    <w:p w:rsidR="00092AAC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170"/>
        <w:ind w:left="113" w:hanging="113"/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</w:pPr>
      <w:r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  <w:t>•</w:t>
      </w:r>
      <w:r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  <w:tab/>
      </w:r>
      <w:r>
        <w:rPr>
          <w:rStyle w:val="Normal2"/>
          <w:rFonts w:ascii="Times Roman" w:eastAsia="Times Roman" w:hAnsi="Times Roman" w:cs="Times Roman"/>
          <w:i/>
          <w:sz w:val="18"/>
          <w:lang w:val="en-US" w:eastAsia="en-US" w:bidi="en-US"/>
        </w:rPr>
        <w:t xml:space="preserve">Conclusions, </w:t>
      </w:r>
      <w:r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  <w:t xml:space="preserve">par Patrick DEMOUY </w:t>
      </w:r>
      <w:r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  <w:tab/>
      </w:r>
      <w:r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  <w:tab/>
        <w:t>185</w:t>
      </w:r>
    </w:p>
    <w:p w:rsidR="00092AAC" w:rsidRDefault="00092AAC">
      <w:pPr>
        <w:pStyle w:val="Normal1"/>
        <w:tabs>
          <w:tab w:val="left" w:pos="113"/>
          <w:tab w:val="right" w:leader="dot" w:pos="6663"/>
          <w:tab w:val="right" w:pos="7004"/>
        </w:tabs>
        <w:spacing w:before="96"/>
        <w:ind w:left="113" w:hanging="113"/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</w:pPr>
    </w:p>
    <w:p w:rsidR="004369CB" w:rsidRDefault="004369CB">
      <w:pPr>
        <w:pStyle w:val="Normal1"/>
        <w:tabs>
          <w:tab w:val="left" w:pos="113"/>
          <w:tab w:val="right" w:leader="dot" w:pos="6663"/>
          <w:tab w:val="right" w:pos="7004"/>
        </w:tabs>
        <w:spacing w:before="96"/>
        <w:ind w:left="113" w:hanging="113"/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</w:pPr>
    </w:p>
    <w:p w:rsidR="004369CB" w:rsidRDefault="004369CB" w:rsidP="004369CB">
      <w:pPr>
        <w:pStyle w:val="Normal1"/>
        <w:tabs>
          <w:tab w:val="left" w:pos="113"/>
          <w:tab w:val="right" w:leader="dot" w:pos="6663"/>
          <w:tab w:val="right" w:pos="7004"/>
        </w:tabs>
        <w:spacing w:before="96"/>
        <w:ind w:left="113" w:right="2041" w:hanging="113"/>
        <w:jc w:val="center"/>
        <w:rPr>
          <w:rStyle w:val="Normal2"/>
          <w:rFonts w:ascii="Times Roman" w:eastAsia="Times Roman" w:hAnsi="Times Roman" w:cs="Times Roman"/>
          <w:sz w:val="18"/>
          <w:lang w:val="en-US" w:eastAsia="en-US" w:bidi="en-US"/>
        </w:rPr>
      </w:pPr>
      <w:bookmarkStart w:id="0" w:name="_GoBack"/>
      <w:bookmarkEnd w:id="0"/>
      <w:r>
        <w:rPr>
          <w:rFonts w:ascii="Times Roman" w:eastAsia="Times Roman" w:hAnsi="Times Roman" w:cs="Times Roman"/>
          <w:noProof/>
          <w:sz w:val="18"/>
        </w:rPr>
        <w:drawing>
          <wp:inline distT="0" distB="0" distL="0" distR="0">
            <wp:extent cx="2760911" cy="38648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AvecFondBleu92_77_10_10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2" t="25658" r="26035" b="26096"/>
                    <a:stretch/>
                  </pic:blipFill>
                  <pic:spPr bwMode="auto">
                    <a:xfrm>
                      <a:off x="0" y="0"/>
                      <a:ext cx="2794185" cy="391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AAC"/>
    <w:rsid w:val="00092AAC"/>
    <w:rsid w:val="0043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73C6"/>
  <w15:docId w15:val="{F9EA262C-B96A-D045-B56F-BC54CBDC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262526"/>
        <w:lang w:val="en-US" w:eastAsia="en-US" w:bidi="en-US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link w:val="Normal2"/>
    <w:qFormat/>
  </w:style>
  <w:style w:type="character" w:customStyle="1" w:styleId="Normal2">
    <w:name w:val="Normal2"/>
    <w:link w:val="Normal1"/>
    <w:rPr>
      <w:rFonts w:ascii="Helvetica" w:eastAsia="Helvetica" w:hAnsi="Helvetica" w:cs="Helvetica"/>
      <w:sz w:val="24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B32862-1E83-2A4E-8776-AA4E815B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167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2020-03-02T16:22:00Z</dcterms:created>
  <dcterms:modified xsi:type="dcterms:W3CDTF">2020-03-02T16:29:00Z</dcterms:modified>
</cp:coreProperties>
</file>